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4"/>
        <w:ind w:left="17" w:right="0" w:firstLine="0"/>
        <w:jc w:val="center"/>
        <w:rPr>
          <w:b/>
          <w:sz w:val="22"/>
        </w:rPr>
      </w:pPr>
      <w:r>
        <w:rPr>
          <w:b/>
          <w:color w:val="0F0F0F"/>
          <w:spacing w:val="-2"/>
          <w:w w:val="135"/>
          <w:sz w:val="22"/>
          <w:u w:val="thick" w:color="0F0F0F"/>
        </w:rPr>
        <w:t>ORDINANCE</w:t>
      </w:r>
    </w:p>
    <w:p>
      <w:pPr>
        <w:pStyle w:val="BodyText"/>
        <w:spacing w:before="251"/>
        <w:ind w:left="143" w:right="125" w:firstLine="723"/>
      </w:pPr>
      <w:r>
        <w:rPr>
          <w:b/>
          <w:color w:val="0F0F0F"/>
        </w:rPr>
        <w:t>WHEREAS, </w:t>
      </w:r>
      <w:r>
        <w:rPr>
          <w:color w:val="0F0F0F"/>
        </w:rPr>
        <w:t>the City of Chicago (the </w:t>
      </w:r>
      <w:r>
        <w:rPr>
          <w:color w:val="232323"/>
        </w:rPr>
        <w:t>"City"), </w:t>
      </w:r>
      <w:r>
        <w:rPr>
          <w:color w:val="0F0F0F"/>
        </w:rPr>
        <w:t>is a home rule unit of government as described in Section 6(a), Article VII of the 1970 Constitution of the State of Illinois and may exercise any power related to its local government affairs; and</w:t>
      </w:r>
    </w:p>
    <w:p>
      <w:pPr>
        <w:pStyle w:val="BodyText"/>
        <w:spacing w:before="2"/>
        <w:jc w:val="left"/>
      </w:pPr>
    </w:p>
    <w:p>
      <w:pPr>
        <w:pStyle w:val="BodyText"/>
        <w:ind w:left="141" w:right="129" w:firstLine="721"/>
      </w:pPr>
      <w:r>
        <w:rPr>
          <w:b/>
          <w:color w:val="0F0F0F"/>
        </w:rPr>
        <w:t>WHEREAS, </w:t>
      </w:r>
      <w:r>
        <w:rPr>
          <w:color w:val="0F0F0F"/>
        </w:rPr>
        <w:t>the</w:t>
      </w:r>
      <w:r>
        <w:rPr>
          <w:color w:val="0F0F0F"/>
          <w:spacing w:val="-11"/>
        </w:rPr>
        <w:t> </w:t>
      </w:r>
      <w:r>
        <w:rPr>
          <w:color w:val="0F0F0F"/>
        </w:rPr>
        <w:t>Chicago Housing</w:t>
      </w:r>
      <w:r>
        <w:rPr>
          <w:color w:val="0F0F0F"/>
          <w:spacing w:val="-1"/>
        </w:rPr>
        <w:t> </w:t>
      </w:r>
      <w:r>
        <w:rPr>
          <w:color w:val="0F0F0F"/>
        </w:rPr>
        <w:t>Authority (the</w:t>
      </w:r>
      <w:r>
        <w:rPr>
          <w:color w:val="0F0F0F"/>
          <w:spacing w:val="-6"/>
        </w:rPr>
        <w:t> </w:t>
      </w:r>
      <w:r>
        <w:rPr>
          <w:color w:val="232323"/>
        </w:rPr>
        <w:t>"CHA") </w:t>
      </w:r>
      <w:r>
        <w:rPr>
          <w:color w:val="0F0F0F"/>
        </w:rPr>
        <w:t>is</w:t>
      </w:r>
      <w:r>
        <w:rPr>
          <w:color w:val="0F0F0F"/>
          <w:spacing w:val="-7"/>
        </w:rPr>
        <w:t> </w:t>
      </w:r>
      <w:r>
        <w:rPr>
          <w:color w:val="0F0F0F"/>
        </w:rPr>
        <w:t>a</w:t>
      </w:r>
      <w:r>
        <w:rPr>
          <w:color w:val="0F0F0F"/>
          <w:spacing w:val="-10"/>
        </w:rPr>
        <w:t> </w:t>
      </w:r>
      <w:r>
        <w:rPr>
          <w:color w:val="0F0F0F"/>
        </w:rPr>
        <w:t>municipal corporation of</w:t>
      </w:r>
      <w:r>
        <w:rPr>
          <w:color w:val="0F0F0F"/>
          <w:spacing w:val="-9"/>
        </w:rPr>
        <w:t> </w:t>
      </w:r>
      <w:r>
        <w:rPr>
          <w:color w:val="0F0F0F"/>
        </w:rPr>
        <w:t>the State of Illinois; and</w:t>
      </w:r>
    </w:p>
    <w:p>
      <w:pPr>
        <w:pStyle w:val="BodyText"/>
        <w:spacing w:before="5"/>
        <w:jc w:val="left"/>
      </w:pPr>
    </w:p>
    <w:p>
      <w:pPr>
        <w:pStyle w:val="BodyText"/>
        <w:spacing w:before="1"/>
        <w:ind w:left="139" w:right="124" w:firstLine="718"/>
      </w:pPr>
      <w:r>
        <w:rPr>
          <w:b/>
          <w:color w:val="0F0F0F"/>
        </w:rPr>
        <w:t>WHEREAS, </w:t>
      </w:r>
      <w:r>
        <w:rPr>
          <w:color w:val="0F0F0F"/>
        </w:rPr>
        <w:t>the CHA is</w:t>
      </w:r>
      <w:r>
        <w:rPr>
          <w:color w:val="0F0F0F"/>
          <w:spacing w:val="-1"/>
        </w:rPr>
        <w:t> </w:t>
      </w:r>
      <w:r>
        <w:rPr>
          <w:color w:val="0F0F0F"/>
        </w:rPr>
        <w:t>engaged in</w:t>
      </w:r>
      <w:r>
        <w:rPr>
          <w:color w:val="0F0F0F"/>
          <w:spacing w:val="-2"/>
        </w:rPr>
        <w:t> </w:t>
      </w:r>
      <w:r>
        <w:rPr>
          <w:color w:val="0F0F0F"/>
        </w:rPr>
        <w:t>the development</w:t>
      </w:r>
      <w:r>
        <w:rPr>
          <w:color w:val="0F0F0F"/>
          <w:spacing w:val="31"/>
        </w:rPr>
        <w:t> </w:t>
      </w:r>
      <w:r>
        <w:rPr>
          <w:color w:val="0F0F0F"/>
        </w:rPr>
        <w:t>and operation of safe, decent and sanitary housing throughout the City for low-income families and low-income senior citizens,</w:t>
      </w:r>
      <w:r>
        <w:rPr>
          <w:color w:val="0F0F0F"/>
          <w:spacing w:val="40"/>
        </w:rPr>
        <w:t> </w:t>
      </w:r>
      <w:r>
        <w:rPr>
          <w:color w:val="0F0F0F"/>
        </w:rPr>
        <w:t>and seeks to provide its residents with a fair and efficient grievance procedure to resolve disputes between CHA tenants and</w:t>
      </w:r>
      <w:r>
        <w:rPr>
          <w:color w:val="0F0F0F"/>
          <w:spacing w:val="-9"/>
        </w:rPr>
        <w:t> </w:t>
      </w:r>
      <w:r>
        <w:rPr>
          <w:color w:val="0F0F0F"/>
        </w:rPr>
        <w:t>the</w:t>
      </w:r>
      <w:r>
        <w:rPr>
          <w:color w:val="0F0F0F"/>
          <w:spacing w:val="-7"/>
        </w:rPr>
        <w:t> </w:t>
      </w:r>
      <w:r>
        <w:rPr>
          <w:color w:val="0F0F0F"/>
        </w:rPr>
        <w:t>CHA and/or its</w:t>
      </w:r>
      <w:r>
        <w:rPr>
          <w:color w:val="0F0F0F"/>
          <w:spacing w:val="-7"/>
        </w:rPr>
        <w:t> </w:t>
      </w:r>
      <w:r>
        <w:rPr>
          <w:color w:val="0F0F0F"/>
        </w:rPr>
        <w:t>property management</w:t>
      </w:r>
      <w:r>
        <w:rPr>
          <w:color w:val="0F0F0F"/>
          <w:spacing w:val="27"/>
        </w:rPr>
        <w:t> </w:t>
      </w:r>
      <w:r>
        <w:rPr>
          <w:color w:val="0F0F0F"/>
        </w:rPr>
        <w:t>companies; and</w:t>
      </w:r>
    </w:p>
    <w:p>
      <w:pPr>
        <w:pStyle w:val="BodyText"/>
        <w:spacing w:before="3"/>
        <w:jc w:val="left"/>
      </w:pPr>
    </w:p>
    <w:p>
      <w:pPr>
        <w:pStyle w:val="BodyText"/>
        <w:ind w:left="132" w:right="116" w:firstLine="725"/>
      </w:pPr>
      <w:r>
        <w:rPr>
          <w:b/>
          <w:color w:val="0F0F0F"/>
        </w:rPr>
        <w:t>WHEREAS, </w:t>
      </w:r>
      <w:r>
        <w:rPr>
          <w:color w:val="0F0F0F"/>
        </w:rPr>
        <w:t>the City Council of the City ("City Council"),</w:t>
      </w:r>
      <w:r>
        <w:rPr>
          <w:color w:val="0F0F0F"/>
          <w:spacing w:val="37"/>
        </w:rPr>
        <w:t> </w:t>
      </w:r>
      <w:r>
        <w:rPr>
          <w:color w:val="0F0F0F"/>
        </w:rPr>
        <w:t>by ordinance adopted March 31, 2004 and published in the Journal of the Proceedings of the City Council of the City of Chicago for such</w:t>
      </w:r>
      <w:r>
        <w:rPr>
          <w:color w:val="0F0F0F"/>
          <w:spacing w:val="-1"/>
        </w:rPr>
        <w:t> </w:t>
      </w:r>
      <w:r>
        <w:rPr>
          <w:color w:val="0F0F0F"/>
        </w:rPr>
        <w:t>date at</w:t>
      </w:r>
      <w:r>
        <w:rPr>
          <w:color w:val="0F0F0F"/>
          <w:spacing w:val="-4"/>
        </w:rPr>
        <w:t> </w:t>
      </w:r>
      <w:r>
        <w:rPr>
          <w:color w:val="0F0F0F"/>
        </w:rPr>
        <w:t>pages 20968</w:t>
      </w:r>
      <w:r>
        <w:rPr>
          <w:color w:val="0F0F0F"/>
          <w:spacing w:val="-4"/>
        </w:rPr>
        <w:t> </w:t>
      </w:r>
      <w:r>
        <w:rPr>
          <w:color w:val="0F0F0F"/>
        </w:rPr>
        <w:t>-</w:t>
      </w:r>
      <w:r>
        <w:rPr>
          <w:color w:val="0F0F0F"/>
          <w:spacing w:val="40"/>
        </w:rPr>
        <w:t> </w:t>
      </w:r>
      <w:r>
        <w:rPr>
          <w:color w:val="0F0F0F"/>
        </w:rPr>
        <w:t>20981, amended the</w:t>
      </w:r>
      <w:r>
        <w:rPr>
          <w:color w:val="0F0F0F"/>
          <w:spacing w:val="-1"/>
        </w:rPr>
        <w:t> </w:t>
      </w:r>
      <w:r>
        <w:rPr>
          <w:color w:val="0F0F0F"/>
        </w:rPr>
        <w:t>powers and</w:t>
      </w:r>
      <w:r>
        <w:rPr>
          <w:color w:val="0F0F0F"/>
          <w:spacing w:val="-1"/>
        </w:rPr>
        <w:t> </w:t>
      </w:r>
      <w:r>
        <w:rPr>
          <w:color w:val="0F0F0F"/>
        </w:rPr>
        <w:t>duties of</w:t>
      </w:r>
      <w:r>
        <w:rPr>
          <w:color w:val="0F0F0F"/>
          <w:spacing w:val="-8"/>
        </w:rPr>
        <w:t> </w:t>
      </w:r>
      <w:r>
        <w:rPr>
          <w:color w:val="0F0F0F"/>
        </w:rPr>
        <w:t>the</w:t>
      </w:r>
      <w:r>
        <w:rPr>
          <w:color w:val="0F0F0F"/>
          <w:spacing w:val="-2"/>
        </w:rPr>
        <w:t> </w:t>
      </w:r>
      <w:r>
        <w:rPr>
          <w:color w:val="0F0F0F"/>
        </w:rPr>
        <w:t>Director of the Department of Administrative Hearings ("DOAH"), as set forth in Title 2</w:t>
      </w:r>
      <w:r>
        <w:rPr>
          <w:color w:val="3D3D3D"/>
        </w:rPr>
        <w:t>, </w:t>
      </w:r>
      <w:r>
        <w:rPr>
          <w:color w:val="0F0F0F"/>
        </w:rPr>
        <w:t>Chapter 14, Section 030 of the Municipal Code of Chicago, to include the power and duty to establish a system for hearing grievances brought by CHA tenants against the CHA and/or its property manager; and</w:t>
      </w:r>
    </w:p>
    <w:p>
      <w:pPr>
        <w:pStyle w:val="BodyText"/>
        <w:spacing w:before="2"/>
        <w:jc w:val="left"/>
      </w:pPr>
    </w:p>
    <w:p>
      <w:pPr>
        <w:pStyle w:val="BodyText"/>
        <w:spacing w:line="237" w:lineRule="auto"/>
        <w:ind w:left="127" w:right="119" w:firstLine="725"/>
      </w:pPr>
      <w:r>
        <w:rPr>
          <w:b/>
          <w:color w:val="0F0F0F"/>
        </w:rPr>
        <w:t>WHEREAS, </w:t>
      </w:r>
      <w:r>
        <w:rPr>
          <w:color w:val="0F0F0F"/>
        </w:rPr>
        <w:t>in 2019, the City, by and through DOAH and pursuant to said ordinance, entered into an intergovernmental agreement with the CHA to provide hearing officers and related services in</w:t>
      </w:r>
      <w:r>
        <w:rPr>
          <w:color w:val="0F0F0F"/>
          <w:spacing w:val="-5"/>
        </w:rPr>
        <w:t> </w:t>
      </w:r>
      <w:r>
        <w:rPr>
          <w:color w:val="0F0F0F"/>
        </w:rPr>
        <w:t>order</w:t>
      </w:r>
      <w:r>
        <w:rPr>
          <w:color w:val="0F0F0F"/>
          <w:spacing w:val="-4"/>
        </w:rPr>
        <w:t> </w:t>
      </w:r>
      <w:r>
        <w:rPr>
          <w:color w:val="0F0F0F"/>
        </w:rPr>
        <w:t>to hear and</w:t>
      </w:r>
      <w:r>
        <w:rPr>
          <w:color w:val="0F0F0F"/>
          <w:spacing w:val="-3"/>
        </w:rPr>
        <w:t> </w:t>
      </w:r>
      <w:r>
        <w:rPr>
          <w:color w:val="0F0F0F"/>
        </w:rPr>
        <w:t>adjudicate grievances brought by</w:t>
      </w:r>
      <w:r>
        <w:rPr>
          <w:color w:val="0F0F0F"/>
          <w:spacing w:val="-4"/>
        </w:rPr>
        <w:t> </w:t>
      </w:r>
      <w:r>
        <w:rPr>
          <w:color w:val="0F0F0F"/>
        </w:rPr>
        <w:t>CHA tenants pursuant to the CHA grievance procedure; and</w:t>
      </w:r>
    </w:p>
    <w:p>
      <w:pPr>
        <w:pStyle w:val="BodyText"/>
        <w:spacing w:before="2"/>
        <w:jc w:val="left"/>
      </w:pPr>
    </w:p>
    <w:p>
      <w:pPr>
        <w:pStyle w:val="BodyText"/>
        <w:ind w:left="128" w:right="116" w:firstLine="720"/>
      </w:pPr>
      <w:r>
        <w:rPr>
          <w:b/>
          <w:color w:val="0F0F0F"/>
        </w:rPr>
        <w:t>WHEREAS, </w:t>
      </w:r>
      <w:r>
        <w:rPr>
          <w:color w:val="0F0F0F"/>
        </w:rPr>
        <w:t>the term of said intergovernmental</w:t>
      </w:r>
      <w:r>
        <w:rPr>
          <w:color w:val="0F0F0F"/>
          <w:spacing w:val="-7"/>
        </w:rPr>
        <w:t> </w:t>
      </w:r>
      <w:r>
        <w:rPr>
          <w:color w:val="0F0F0F"/>
        </w:rPr>
        <w:t>agreement was for the period from</w:t>
      </w:r>
      <w:r>
        <w:rPr>
          <w:color w:val="0F0F0F"/>
          <w:spacing w:val="-3"/>
        </w:rPr>
        <w:t> </w:t>
      </w:r>
      <w:r>
        <w:rPr>
          <w:color w:val="0F0F0F"/>
        </w:rPr>
        <w:t>April 1</w:t>
      </w:r>
      <w:r>
        <w:rPr>
          <w:color w:val="3D3D3D"/>
        </w:rPr>
        <w:t>,</w:t>
      </w:r>
      <w:r>
        <w:rPr>
          <w:color w:val="3D3D3D"/>
          <w:spacing w:val="-6"/>
        </w:rPr>
        <w:t> </w:t>
      </w:r>
      <w:r>
        <w:rPr>
          <w:color w:val="0F0F0F"/>
        </w:rPr>
        <w:t>2019 through March 31, 2022 with the option to extend the agreement for one (1) additional two- year term through March 31, 2024; and</w:t>
      </w:r>
    </w:p>
    <w:p>
      <w:pPr>
        <w:pStyle w:val="BodyText"/>
        <w:spacing w:before="2"/>
        <w:jc w:val="left"/>
      </w:pPr>
    </w:p>
    <w:p>
      <w:pPr>
        <w:pStyle w:val="BodyText"/>
        <w:ind w:left="122" w:right="120" w:firstLine="725"/>
      </w:pPr>
      <w:r>
        <w:rPr>
          <w:b/>
          <w:color w:val="0F0F0F"/>
        </w:rPr>
        <w:t>WHEREAS, </w:t>
      </w:r>
      <w:r>
        <w:rPr>
          <w:color w:val="0F0F0F"/>
        </w:rPr>
        <w:t>the City and</w:t>
      </w:r>
      <w:r>
        <w:rPr>
          <w:color w:val="0F0F0F"/>
          <w:spacing w:val="-1"/>
        </w:rPr>
        <w:t> </w:t>
      </w:r>
      <w:r>
        <w:rPr>
          <w:color w:val="0F0F0F"/>
        </w:rPr>
        <w:t>the CHA desire to enter into an intergovernmental</w:t>
      </w:r>
      <w:r>
        <w:rPr>
          <w:color w:val="0F0F0F"/>
          <w:spacing w:val="-6"/>
        </w:rPr>
        <w:t> </w:t>
      </w:r>
      <w:r>
        <w:rPr>
          <w:color w:val="0F0F0F"/>
        </w:rPr>
        <w:t>agreement, in</w:t>
      </w:r>
      <w:r>
        <w:rPr>
          <w:color w:val="0F0F0F"/>
          <w:spacing w:val="-9"/>
        </w:rPr>
        <w:t> </w:t>
      </w:r>
      <w:r>
        <w:rPr>
          <w:color w:val="0F0F0F"/>
        </w:rPr>
        <w:t>substantially the</w:t>
      </w:r>
      <w:r>
        <w:rPr>
          <w:color w:val="0F0F0F"/>
          <w:spacing w:val="-6"/>
        </w:rPr>
        <w:t> </w:t>
      </w:r>
      <w:r>
        <w:rPr>
          <w:color w:val="0F0F0F"/>
        </w:rPr>
        <w:t>form attached as</w:t>
      </w:r>
      <w:r>
        <w:rPr>
          <w:color w:val="0F0F0F"/>
          <w:spacing w:val="-1"/>
        </w:rPr>
        <w:t> </w:t>
      </w:r>
      <w:r>
        <w:rPr>
          <w:color w:val="232323"/>
          <w:u w:val="thick" w:color="232323"/>
        </w:rPr>
        <w:t>Exhibit</w:t>
      </w:r>
      <w:r>
        <w:rPr>
          <w:color w:val="232323"/>
          <w:spacing w:val="-6"/>
          <w:u w:val="thick" w:color="232323"/>
        </w:rPr>
        <w:t> </w:t>
      </w:r>
      <w:r>
        <w:rPr>
          <w:color w:val="232323"/>
          <w:u w:val="thick" w:color="232323"/>
        </w:rPr>
        <w:t>A</w:t>
      </w:r>
      <w:r>
        <w:rPr>
          <w:color w:val="232323"/>
          <w:spacing w:val="-9"/>
        </w:rPr>
        <w:t> </w:t>
      </w:r>
      <w:r>
        <w:rPr>
          <w:color w:val="0F0F0F"/>
        </w:rPr>
        <w:t>(the </w:t>
      </w:r>
      <w:r>
        <w:rPr>
          <w:color w:val="232323"/>
        </w:rPr>
        <w:t>"Fifth</w:t>
      </w:r>
      <w:r>
        <w:rPr>
          <w:color w:val="232323"/>
          <w:spacing w:val="-6"/>
        </w:rPr>
        <w:t> </w:t>
      </w:r>
      <w:r>
        <w:rPr>
          <w:color w:val="0F0F0F"/>
        </w:rPr>
        <w:t>IGA"), whereby CHA tenant</w:t>
      </w:r>
      <w:r>
        <w:rPr>
          <w:color w:val="0F0F0F"/>
          <w:spacing w:val="-3"/>
        </w:rPr>
        <w:t> </w:t>
      </w:r>
      <w:r>
        <w:rPr>
          <w:color w:val="0F0F0F"/>
        </w:rPr>
        <w:t>grievances will continue to</w:t>
      </w:r>
      <w:r>
        <w:rPr>
          <w:color w:val="0F0F0F"/>
          <w:spacing w:val="-5"/>
        </w:rPr>
        <w:t> </w:t>
      </w:r>
      <w:r>
        <w:rPr>
          <w:color w:val="0F0F0F"/>
        </w:rPr>
        <w:t>be</w:t>
      </w:r>
      <w:r>
        <w:rPr>
          <w:color w:val="0F0F0F"/>
          <w:spacing w:val="-6"/>
        </w:rPr>
        <w:t> </w:t>
      </w:r>
      <w:r>
        <w:rPr>
          <w:color w:val="0F0F0F"/>
        </w:rPr>
        <w:t>heard and adjudicated by</w:t>
      </w:r>
      <w:r>
        <w:rPr>
          <w:color w:val="0F0F0F"/>
          <w:spacing w:val="-1"/>
        </w:rPr>
        <w:t> </w:t>
      </w:r>
      <w:r>
        <w:rPr>
          <w:color w:val="0F0F0F"/>
        </w:rPr>
        <w:t>DOAH for a</w:t>
      </w:r>
      <w:r>
        <w:rPr>
          <w:color w:val="0F0F0F"/>
          <w:spacing w:val="-3"/>
        </w:rPr>
        <w:t> </w:t>
      </w:r>
      <w:r>
        <w:rPr>
          <w:color w:val="0F0F0F"/>
        </w:rPr>
        <w:t>new three-year term, with</w:t>
      </w:r>
      <w:r>
        <w:rPr>
          <w:color w:val="0F0F0F"/>
          <w:spacing w:val="-4"/>
        </w:rPr>
        <w:t> </w:t>
      </w:r>
      <w:r>
        <w:rPr>
          <w:color w:val="0F0F0F"/>
        </w:rPr>
        <w:t>the</w:t>
      </w:r>
      <w:r>
        <w:rPr>
          <w:color w:val="0F0F0F"/>
          <w:spacing w:val="-2"/>
        </w:rPr>
        <w:t> </w:t>
      </w:r>
      <w:r>
        <w:rPr>
          <w:color w:val="0F0F0F"/>
        </w:rPr>
        <w:t>option to extend the Fifth IGA for one (1) additional two-year term; and</w:t>
      </w:r>
    </w:p>
    <w:p>
      <w:pPr>
        <w:pStyle w:val="BodyText"/>
        <w:spacing w:before="252"/>
        <w:ind w:left="116" w:right="104" w:firstLine="726"/>
      </w:pPr>
      <w:r>
        <w:rPr>
          <w:b/>
          <w:color w:val="0F0F0F"/>
        </w:rPr>
        <w:t>WHEREAS, </w:t>
      </w:r>
      <w:r>
        <w:rPr>
          <w:color w:val="0F0F0F"/>
        </w:rPr>
        <w:t>the City and the CHA</w:t>
      </w:r>
      <w:r>
        <w:rPr>
          <w:color w:val="0F0F0F"/>
          <w:spacing w:val="33"/>
        </w:rPr>
        <w:t> </w:t>
      </w:r>
      <w:r>
        <w:rPr>
          <w:color w:val="0F0F0F"/>
        </w:rPr>
        <w:t>each have the legal authority</w:t>
      </w:r>
      <w:r>
        <w:rPr>
          <w:color w:val="0F0F0F"/>
          <w:spacing w:val="35"/>
        </w:rPr>
        <w:t> </w:t>
      </w:r>
      <w:r>
        <w:rPr>
          <w:color w:val="0F0F0F"/>
        </w:rPr>
        <w:t>to enter into the Fifth IGA pursuant to Article VII, §10 of the Illinois Constitution of 1970 and the Intergovernmental Cooperation Act, as amended (5 ILCS 220/1 et seq</w:t>
      </w:r>
      <w:r>
        <w:rPr>
          <w:color w:val="545454"/>
        </w:rPr>
        <w:t>.</w:t>
      </w:r>
      <w:r>
        <w:rPr>
          <w:color w:val="0F0F0F"/>
        </w:rPr>
        <w:t>),</w:t>
      </w:r>
      <w:r>
        <w:rPr>
          <w:color w:val="0F0F0F"/>
          <w:spacing w:val="-11"/>
        </w:rPr>
        <w:t> </w:t>
      </w:r>
      <w:r>
        <w:rPr>
          <w:color w:val="0F0F0F"/>
        </w:rPr>
        <w:t>now, therefore,</w:t>
      </w:r>
    </w:p>
    <w:p>
      <w:pPr>
        <w:pStyle w:val="Heading1"/>
        <w:spacing w:before="251"/>
        <w:ind w:left="842"/>
      </w:pPr>
      <w:r>
        <w:rPr>
          <w:color w:val="0F0F0F"/>
        </w:rPr>
        <w:t>BE</w:t>
      </w:r>
      <w:r>
        <w:rPr>
          <w:color w:val="0F0F0F"/>
          <w:spacing w:val="-3"/>
        </w:rPr>
        <w:t> </w:t>
      </w:r>
      <w:r>
        <w:rPr>
          <w:color w:val="0F0F0F"/>
        </w:rPr>
        <w:t>IT</w:t>
      </w:r>
      <w:r>
        <w:rPr>
          <w:color w:val="0F0F0F"/>
          <w:spacing w:val="-3"/>
        </w:rPr>
        <w:t> </w:t>
      </w:r>
      <w:r>
        <w:rPr>
          <w:color w:val="0F0F0F"/>
        </w:rPr>
        <w:t>ORDAINED</w:t>
      </w:r>
      <w:r>
        <w:rPr>
          <w:color w:val="0F0F0F"/>
          <w:spacing w:val="4"/>
        </w:rPr>
        <w:t> </w:t>
      </w:r>
      <w:r>
        <w:rPr>
          <w:color w:val="0F0F0F"/>
        </w:rPr>
        <w:t>BY</w:t>
      </w:r>
      <w:r>
        <w:rPr>
          <w:color w:val="0F0F0F"/>
          <w:spacing w:val="-6"/>
        </w:rPr>
        <w:t> </w:t>
      </w:r>
      <w:r>
        <w:rPr>
          <w:color w:val="0F0F0F"/>
        </w:rPr>
        <w:t>THE CITY</w:t>
      </w:r>
      <w:r>
        <w:rPr>
          <w:color w:val="0F0F0F"/>
          <w:spacing w:val="1"/>
        </w:rPr>
        <w:t> </w:t>
      </w:r>
      <w:r>
        <w:rPr>
          <w:color w:val="0F0F0F"/>
        </w:rPr>
        <w:t>COUNCIL</w:t>
      </w:r>
      <w:r>
        <w:rPr>
          <w:color w:val="0F0F0F"/>
          <w:spacing w:val="2"/>
        </w:rPr>
        <w:t> </w:t>
      </w:r>
      <w:r>
        <w:rPr>
          <w:color w:val="0F0F0F"/>
        </w:rPr>
        <w:t>OF</w:t>
      </w:r>
      <w:r>
        <w:rPr>
          <w:color w:val="0F0F0F"/>
          <w:spacing w:val="-10"/>
        </w:rPr>
        <w:t> </w:t>
      </w:r>
      <w:r>
        <w:rPr>
          <w:color w:val="0F0F0F"/>
        </w:rPr>
        <w:t>THE CITY</w:t>
      </w:r>
      <w:r>
        <w:rPr>
          <w:color w:val="0F0F0F"/>
          <w:spacing w:val="-1"/>
        </w:rPr>
        <w:t> </w:t>
      </w:r>
      <w:r>
        <w:rPr>
          <w:color w:val="0F0F0F"/>
        </w:rPr>
        <w:t>OF</w:t>
      </w:r>
      <w:r>
        <w:rPr>
          <w:color w:val="0F0F0F"/>
          <w:spacing w:val="-2"/>
        </w:rPr>
        <w:t> CHICAGO:</w:t>
      </w:r>
    </w:p>
    <w:p>
      <w:pPr>
        <w:pStyle w:val="BodyText"/>
        <w:spacing w:before="5"/>
        <w:jc w:val="left"/>
        <w:rPr>
          <w:b/>
        </w:rPr>
      </w:pPr>
    </w:p>
    <w:p>
      <w:pPr>
        <w:pStyle w:val="BodyText"/>
        <w:spacing w:line="237" w:lineRule="auto"/>
        <w:ind w:left="121" w:right="114" w:firstLine="720"/>
      </w:pPr>
      <w:r>
        <w:rPr>
          <w:b/>
          <w:color w:val="0F0F0F"/>
        </w:rPr>
        <w:t>SECTION 1.</w:t>
      </w:r>
      <w:r>
        <w:rPr>
          <w:b/>
          <w:color w:val="0F0F0F"/>
          <w:spacing w:val="40"/>
        </w:rPr>
        <w:t> </w:t>
      </w:r>
      <w:r>
        <w:rPr>
          <w:color w:val="0F0F0F"/>
        </w:rPr>
        <w:t>The above recitals are expressly incorporated by reference as if fully set forth herein.</w:t>
      </w:r>
    </w:p>
    <w:p>
      <w:pPr>
        <w:pStyle w:val="BodyText"/>
        <w:spacing w:before="1"/>
        <w:jc w:val="left"/>
      </w:pPr>
    </w:p>
    <w:p>
      <w:pPr>
        <w:pStyle w:val="BodyText"/>
        <w:spacing w:line="237" w:lineRule="auto"/>
        <w:ind w:left="114" w:right="102" w:firstLine="726"/>
      </w:pPr>
      <w:r>
        <w:rPr>
          <w:b/>
          <w:color w:val="0F0F0F"/>
        </w:rPr>
        <w:t>SECTION 2.</w:t>
      </w:r>
      <w:r>
        <w:rPr>
          <w:b/>
          <w:color w:val="0F0F0F"/>
          <w:spacing w:val="40"/>
        </w:rPr>
        <w:t> </w:t>
      </w:r>
      <w:r>
        <w:rPr>
          <w:color w:val="0F0F0F"/>
        </w:rPr>
        <w:t>The Director of DOAH ("Director"), or designee, is authorized, with the approval of the City's Corporation Counsel as to form and legality, to execute and deliver the Fifth IGA</w:t>
      </w:r>
      <w:r>
        <w:rPr>
          <w:color w:val="3D3D3D"/>
        </w:rPr>
        <w:t>, </w:t>
      </w:r>
      <w:r>
        <w:rPr>
          <w:color w:val="0F0F0F"/>
        </w:rPr>
        <w:t>and specifically with the indemnity provisions contained therein</w:t>
      </w:r>
      <w:r>
        <w:rPr>
          <w:color w:val="3D3D3D"/>
        </w:rPr>
        <w:t>, </w:t>
      </w:r>
      <w:r>
        <w:rPr>
          <w:color w:val="0F0F0F"/>
        </w:rPr>
        <w:t>and such other documents as are</w:t>
      </w:r>
      <w:r>
        <w:rPr>
          <w:color w:val="0F0F0F"/>
          <w:spacing w:val="-5"/>
        </w:rPr>
        <w:t> </w:t>
      </w:r>
      <w:r>
        <w:rPr>
          <w:color w:val="0F0F0F"/>
        </w:rPr>
        <w:t>necessary, between the City and</w:t>
      </w:r>
      <w:r>
        <w:rPr>
          <w:color w:val="0F0F0F"/>
          <w:spacing w:val="-1"/>
        </w:rPr>
        <w:t> </w:t>
      </w:r>
      <w:r>
        <w:rPr>
          <w:color w:val="0F0F0F"/>
        </w:rPr>
        <w:t>the</w:t>
      </w:r>
      <w:r>
        <w:rPr>
          <w:color w:val="0F0F0F"/>
          <w:spacing w:val="-5"/>
        </w:rPr>
        <w:t> </w:t>
      </w:r>
      <w:r>
        <w:rPr>
          <w:color w:val="0F0F0F"/>
        </w:rPr>
        <w:t>CHA, which Fifth</w:t>
      </w:r>
      <w:r>
        <w:rPr>
          <w:color w:val="0F0F0F"/>
          <w:spacing w:val="-3"/>
        </w:rPr>
        <w:t> </w:t>
      </w:r>
      <w:r>
        <w:rPr>
          <w:color w:val="0F0F0F"/>
        </w:rPr>
        <w:t>IGA may contain such changes, deletions or insertions as shall be approved by the parties executing the same on</w:t>
      </w:r>
      <w:r>
        <w:rPr>
          <w:color w:val="0F0F0F"/>
          <w:spacing w:val="-5"/>
        </w:rPr>
        <w:t> </w:t>
      </w:r>
      <w:r>
        <w:rPr>
          <w:color w:val="0F0F0F"/>
        </w:rPr>
        <w:t>the part of the City.</w:t>
      </w:r>
    </w:p>
    <w:p>
      <w:pPr>
        <w:spacing w:after="0" w:line="237" w:lineRule="auto"/>
        <w:sectPr>
          <w:footerReference w:type="default" r:id="rId5"/>
          <w:type w:val="continuous"/>
          <w:pgSz w:w="12240" w:h="15840"/>
          <w:pgMar w:header="0" w:footer="1100" w:top="1320" w:bottom="1280" w:left="1300" w:right="1340"/>
          <w:pgNumType w:start="1"/>
        </w:sectPr>
      </w:pPr>
    </w:p>
    <w:p>
      <w:pPr>
        <w:pStyle w:val="BodyText"/>
        <w:spacing w:before="76"/>
        <w:ind w:left="125" w:right="126" w:firstLine="734"/>
      </w:pPr>
      <w:r>
        <w:rPr>
          <w:b/>
          <w:color w:val="0E0E0E"/>
        </w:rPr>
        <w:t>SECTION 3.</w:t>
      </w:r>
      <w:r>
        <w:rPr>
          <w:b/>
          <w:color w:val="0E0E0E"/>
          <w:spacing w:val="40"/>
        </w:rPr>
        <w:t> </w:t>
      </w:r>
      <w:r>
        <w:rPr>
          <w:color w:val="0E0E0E"/>
        </w:rPr>
        <w:t>To</w:t>
      </w:r>
      <w:r>
        <w:rPr>
          <w:color w:val="0E0E0E"/>
          <w:spacing w:val="-5"/>
        </w:rPr>
        <w:t> </w:t>
      </w:r>
      <w:r>
        <w:rPr>
          <w:color w:val="0E0E0E"/>
        </w:rPr>
        <w:t>the extent that any ordinance, resolution, rule, order or</w:t>
      </w:r>
      <w:r>
        <w:rPr>
          <w:color w:val="0E0E0E"/>
          <w:spacing w:val="-8"/>
        </w:rPr>
        <w:t> </w:t>
      </w:r>
      <w:r>
        <w:rPr>
          <w:color w:val="0E0E0E"/>
        </w:rPr>
        <w:t>provision of</w:t>
      </w:r>
      <w:r>
        <w:rPr>
          <w:color w:val="0E0E0E"/>
          <w:spacing w:val="-3"/>
        </w:rPr>
        <w:t> </w:t>
      </w:r>
      <w:r>
        <w:rPr>
          <w:color w:val="0E0E0E"/>
        </w:rPr>
        <w:t>the Municipal Code of Chicago, or any part thereof, is in conflict with the provisions of this ordinance, the provisions of this ordinance shall control.</w:t>
      </w:r>
      <w:r>
        <w:rPr>
          <w:color w:val="0E0E0E"/>
          <w:spacing w:val="40"/>
        </w:rPr>
        <w:t> </w:t>
      </w:r>
      <w:r>
        <w:rPr>
          <w:color w:val="0E0E0E"/>
        </w:rPr>
        <w:t>If any section, paragraph, clause or provision of</w:t>
      </w:r>
      <w:r>
        <w:rPr>
          <w:color w:val="0E0E0E"/>
          <w:spacing w:val="-11"/>
        </w:rPr>
        <w:t> </w:t>
      </w:r>
      <w:r>
        <w:rPr>
          <w:color w:val="0E0E0E"/>
        </w:rPr>
        <w:t>this ordinance shall</w:t>
      </w:r>
      <w:r>
        <w:rPr>
          <w:color w:val="0E0E0E"/>
          <w:spacing w:val="-3"/>
        </w:rPr>
        <w:t> </w:t>
      </w:r>
      <w:r>
        <w:rPr>
          <w:color w:val="0E0E0E"/>
        </w:rPr>
        <w:t>be</w:t>
      </w:r>
      <w:r>
        <w:rPr>
          <w:color w:val="0E0E0E"/>
          <w:spacing w:val="-4"/>
        </w:rPr>
        <w:t> </w:t>
      </w:r>
      <w:r>
        <w:rPr>
          <w:color w:val="0E0E0E"/>
        </w:rPr>
        <w:t>held</w:t>
      </w:r>
      <w:r>
        <w:rPr>
          <w:color w:val="0E0E0E"/>
          <w:spacing w:val="-3"/>
        </w:rPr>
        <w:t> </w:t>
      </w:r>
      <w:r>
        <w:rPr>
          <w:color w:val="0E0E0E"/>
        </w:rPr>
        <w:t>invalid, the</w:t>
      </w:r>
      <w:r>
        <w:rPr>
          <w:color w:val="0E0E0E"/>
          <w:spacing w:val="-8"/>
        </w:rPr>
        <w:t> </w:t>
      </w:r>
      <w:r>
        <w:rPr>
          <w:color w:val="0E0E0E"/>
        </w:rPr>
        <w:t>invalidity of</w:t>
      </w:r>
      <w:r>
        <w:rPr>
          <w:color w:val="0E0E0E"/>
          <w:spacing w:val="-5"/>
        </w:rPr>
        <w:t> </w:t>
      </w:r>
      <w:r>
        <w:rPr>
          <w:color w:val="0E0E0E"/>
        </w:rPr>
        <w:t>such section, paragraph, clause or provision shall not affect any other provision of</w:t>
      </w:r>
      <w:r>
        <w:rPr>
          <w:color w:val="0E0E0E"/>
          <w:spacing w:val="-5"/>
        </w:rPr>
        <w:t> </w:t>
      </w:r>
      <w:r>
        <w:rPr>
          <w:color w:val="0E0E0E"/>
        </w:rPr>
        <w:t>this ordinance.</w:t>
      </w:r>
    </w:p>
    <w:p>
      <w:pPr>
        <w:pStyle w:val="BodyText"/>
        <w:spacing w:before="6"/>
        <w:jc w:val="left"/>
      </w:pPr>
    </w:p>
    <w:p>
      <w:pPr>
        <w:pStyle w:val="BodyText"/>
        <w:spacing w:line="232" w:lineRule="auto" w:before="1"/>
        <w:ind w:left="124" w:right="130" w:firstLine="730"/>
      </w:pPr>
      <w:r>
        <w:rPr>
          <w:b/>
          <w:color w:val="0E0E0E"/>
        </w:rPr>
        <w:t>SECTION 4.</w:t>
      </w:r>
      <w:r>
        <w:rPr>
          <w:b/>
          <w:color w:val="0E0E0E"/>
          <w:spacing w:val="80"/>
        </w:rPr>
        <w:t> </w:t>
      </w:r>
      <w:r>
        <w:rPr>
          <w:color w:val="0E0E0E"/>
        </w:rPr>
        <w:t>This ordinance shall be effective as of the date of its passage</w:t>
      </w:r>
      <w:r>
        <w:rPr>
          <w:color w:val="0E0E0E"/>
          <w:spacing w:val="40"/>
        </w:rPr>
        <w:t> </w:t>
      </w:r>
      <w:r>
        <w:rPr>
          <w:color w:val="0E0E0E"/>
        </w:rPr>
        <w:t>and </w:t>
      </w:r>
      <w:r>
        <w:rPr>
          <w:color w:val="0E0E0E"/>
          <w:spacing w:val="-2"/>
        </w:rPr>
        <w:t>approval.</w:t>
      </w:r>
    </w:p>
    <w:sectPr>
      <w:pgSz w:w="12240" w:h="15840"/>
      <w:pgMar w:header="0" w:footer="1100" w:top="1520" w:bottom="134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7559168">
              <wp:simplePos x="0" y="0"/>
              <wp:positionH relativeFrom="page">
                <wp:posOffset>3814662</wp:posOffset>
              </wp:positionH>
              <wp:positionV relativeFrom="page">
                <wp:posOffset>9220241</wp:posOffset>
              </wp:positionV>
              <wp:extent cx="17081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70815" cy="182245"/>
                      </a:xfrm>
                      <a:prstGeom prst="rect">
                        <a:avLst/>
                      </a:prstGeom>
                    </wps:spPr>
                    <wps:txbx>
                      <w:txbxContent>
                        <w:p>
                          <w:pPr>
                            <w:pStyle w:val="BodyText"/>
                            <w:spacing w:before="13"/>
                            <w:ind w:left="60"/>
                            <w:jc w:val="left"/>
                          </w:pPr>
                          <w:r>
                            <w:rPr>
                              <w:color w:val="232323"/>
                              <w:spacing w:val="-10"/>
                              <w:w w:val="105"/>
                            </w:rPr>
                            <w:fldChar w:fldCharType="begin"/>
                          </w:r>
                          <w:r>
                            <w:rPr>
                              <w:color w:val="232323"/>
                              <w:spacing w:val="-10"/>
                              <w:w w:val="105"/>
                            </w:rPr>
                            <w:instrText> PAGE </w:instrText>
                          </w:r>
                          <w:r>
                            <w:rPr>
                              <w:color w:val="232323"/>
                              <w:spacing w:val="-10"/>
                              <w:w w:val="105"/>
                            </w:rPr>
                            <w:fldChar w:fldCharType="separate"/>
                          </w:r>
                          <w:r>
                            <w:rPr>
                              <w:color w:val="232323"/>
                              <w:spacing w:val="-10"/>
                              <w:w w:val="105"/>
                            </w:rPr>
                            <w:t>1</w:t>
                          </w:r>
                          <w:r>
                            <w:rPr>
                              <w:color w:val="232323"/>
                              <w:spacing w:val="-10"/>
                              <w:w w:val="10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367096pt;margin-top:726.003296pt;width:13.45pt;height:14.35pt;mso-position-horizontal-relative:page;mso-position-vertical-relative:page;z-index:-15757312" type="#_x0000_t202" id="docshape1" filled="false" stroked="false">
              <v:textbox inset="0,0,0,0">
                <w:txbxContent>
                  <w:p>
                    <w:pPr>
                      <w:pStyle w:val="BodyText"/>
                      <w:spacing w:before="13"/>
                      <w:ind w:left="60"/>
                      <w:jc w:val="left"/>
                    </w:pPr>
                    <w:r>
                      <w:rPr>
                        <w:color w:val="232323"/>
                        <w:spacing w:val="-10"/>
                        <w:w w:val="105"/>
                      </w:rPr>
                      <w:fldChar w:fldCharType="begin"/>
                    </w:r>
                    <w:r>
                      <w:rPr>
                        <w:color w:val="232323"/>
                        <w:spacing w:val="-10"/>
                        <w:w w:val="105"/>
                      </w:rPr>
                      <w:instrText> PAGE </w:instrText>
                    </w:r>
                    <w:r>
                      <w:rPr>
                        <w:color w:val="232323"/>
                        <w:spacing w:val="-10"/>
                        <w:w w:val="105"/>
                      </w:rPr>
                      <w:fldChar w:fldCharType="separate"/>
                    </w:r>
                    <w:r>
                      <w:rPr>
                        <w:color w:val="232323"/>
                        <w:spacing w:val="-10"/>
                        <w:w w:val="105"/>
                      </w:rPr>
                      <w:t>1</w:t>
                    </w:r>
                    <w:r>
                      <w:rPr>
                        <w:color w:val="232323"/>
                        <w:spacing w:val="-10"/>
                        <w:w w:val="105"/>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jc w:val="both"/>
    </w:pPr>
    <w:rPr>
      <w:rFonts w:ascii="Arial" w:hAnsi="Arial" w:eastAsia="Arial" w:cs="Arial"/>
      <w:sz w:val="22"/>
      <w:szCs w:val="22"/>
      <w:lang w:val="en-US" w:eastAsia="en-US" w:bidi="ar-SA"/>
    </w:rPr>
  </w:style>
  <w:style w:styleId="Heading1" w:type="paragraph">
    <w:name w:val="Heading 1"/>
    <w:basedOn w:val="Normal"/>
    <w:uiPriority w:val="1"/>
    <w:qFormat/>
    <w:pPr>
      <w:spacing w:before="74"/>
      <w:ind w:left="17"/>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2024-01-25T23:15:18Z</dcterms:created>
  <dcterms:modified xsi:type="dcterms:W3CDTF">2024-01-25T23:15:18Z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Canon iR-ADV 6860  PDF</vt:lpwstr>
  </property>
  <property fmtid="{D5CDD505-2E9C-101B-9397-08002B2CF9AE}" pid="4" name="Producer">
    <vt:lpwstr>Adobe PSL 1.3e for Canon</vt:lpwstr>
  </property>
  <property fmtid="{D5CDD505-2E9C-101B-9397-08002B2CF9AE}" pid="5" name="LastSaved">
    <vt:filetime>2024-01-25T00:00:00Z</vt:filetime>
  </property>
</Properties>
</file>